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江苏理工学院学生拓展学分创新学分</w:t>
      </w:r>
      <w:r>
        <w:rPr>
          <w:rFonts w:hint="eastAsia" w:ascii="Arial" w:hAnsi="Arial" w:eastAsia="黑体" w:cs="黑体"/>
          <w:kern w:val="2"/>
          <w:sz w:val="32"/>
          <w:szCs w:val="32"/>
        </w:rPr>
        <w:t xml:space="preserve">     </w:t>
      </w:r>
      <w:r>
        <w:rPr>
          <w:rFonts w:hint="eastAsia" w:ascii="黑体" w:hAnsi="宋体" w:eastAsia="黑体" w:cs="黑体"/>
          <w:kern w:val="2"/>
          <w:sz w:val="32"/>
          <w:szCs w:val="32"/>
        </w:rPr>
        <w:t>管理实施办法（试行）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为了全面推进素质教育，加强对学生创新实践能力的培养，促进学生个性发展，规范我校学生拓展学分和创新学分管理的组织与实施工作，特制定本办法。</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一、学生拓展学分创新学分的组成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 xml:space="preserve">1. </w:t>
      </w:r>
      <w:r>
        <w:rPr>
          <w:rFonts w:hint="default" w:ascii="汉仪书宋二简" w:hAnsi="汉仪书宋二简" w:eastAsia="汉仪书宋二简" w:cs="汉仪书宋二简"/>
          <w:color w:val="000000"/>
          <w:kern w:val="2"/>
          <w:sz w:val="21"/>
          <w:szCs w:val="21"/>
          <w:lang w:val="en-US" w:eastAsia="zh-CN" w:bidi="ar"/>
        </w:rPr>
        <w:t>拓展学分包括教育教学、技术技能、学科发展、辅修专业、体育文化竞赛、创业活动等模块学分。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 xml:space="preserve">2. </w:t>
      </w:r>
      <w:r>
        <w:rPr>
          <w:rFonts w:hint="default" w:ascii="汉仪书宋二简" w:hAnsi="汉仪书宋二简" w:eastAsia="汉仪书宋二简" w:cs="汉仪书宋二简"/>
          <w:color w:val="000000"/>
          <w:kern w:val="2"/>
          <w:sz w:val="21"/>
          <w:szCs w:val="21"/>
          <w:lang w:val="en-US" w:eastAsia="zh-CN" w:bidi="ar"/>
        </w:rPr>
        <w:t>创新学分包括学科与科技竞赛、科研成果和科研活动、发表论文及作品、发明创造等项目学分。</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二、学生拓展学分创新学分的转换</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拓展学分可冲抵已修读但未取得的公共选修课学分。与本专业相关的创新学分可冲抵人才培养方案内要求的已修读但未取得的专业选修课学分或公共选修课学分。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拓展学分或创新学分冲抵选修课学分，每项只能冲抵一次，不得重复冲抵。</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三、学生拓展学分创新学分的认定机构及职责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（一）学生拓展学分创新学分的认定机构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学生拓展学分创新学分的认定管理工作实行</w:t>
      </w:r>
      <w:r>
        <w:rPr>
          <w:rFonts w:hint="default" w:ascii="汉仪书宋二简" w:hAnsi="汉仪书宋二简" w:eastAsia="汉仪书宋二简" w:cs="汉仪书宋二简"/>
          <w:b/>
          <w:color w:val="000000"/>
          <w:kern w:val="2"/>
          <w:sz w:val="21"/>
          <w:szCs w:val="21"/>
          <w:lang w:val="en-US" w:eastAsia="zh-CN" w:bidi="ar"/>
        </w:rPr>
        <w:t>二</w:t>
      </w:r>
      <w:r>
        <w:rPr>
          <w:rFonts w:hint="default" w:ascii="汉仪书宋二简" w:hAnsi="汉仪书宋二简" w:eastAsia="汉仪书宋二简" w:cs="汉仪书宋二简"/>
          <w:color w:val="000000"/>
          <w:kern w:val="2"/>
          <w:sz w:val="21"/>
          <w:szCs w:val="21"/>
          <w:lang w:val="en-US" w:eastAsia="zh-CN" w:bidi="ar"/>
        </w:rPr>
        <w:t>级管理制度，学校成立江苏理工学院学生拓展学分创新学分认定中心（简称学校认定中心），各学院成立学院学生拓展学分创新学分认定中心（简称学院认定中心）。</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学校、学院认定机构的人员组成以有关文件、通知公布为准。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学校、学院认定机构在工作过程中实行逐级负责制，在进行学生创新实践训练、学分认定等环节工作中，分别承担对下级机构和广大学生指导、培训、检查、监督等责任和义务。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学校、学院认定机构在组织实施学生拓展学分创新学分认定管理过程中，必须坚持公正、公平、公开的原则，并接受全校师生的监督。对于工作中出现问题的直接责任人，将视具体情况逐级进行批评或处分。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（二）学校认定中心职责</w:t>
      </w:r>
      <w:r>
        <w:rPr>
          <w:rFonts w:hint="default" w:ascii="Times New Roman" w:hAnsi="Times New Roman" w:eastAsia="汉仪书宋二简" w:cs="Times New Roman"/>
          <w:color w:val="000000"/>
          <w:kern w:val="2"/>
          <w:sz w:val="21"/>
          <w:szCs w:val="21"/>
          <w:lang w:val="en-US" w:eastAsia="zh-CN" w:bidi="ar"/>
        </w:rPr>
        <w:tab/>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制定全校统一的实施方案等文件，指导、统筹、监督、协调各学院认定中心的工作。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整合全校创新实践训练项目资源，主持重大争议活动项目的讨论、审定工作。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面向全校做好学生拓展学分创新学分实施方面的宣传工作，取得广泛的支持和认同。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接受学院认定中心和全校师生的监督，及时处理各方面对认定工作的意见和建议，修正各级认定工作环节中的不当之处。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面向学院认定中心开展人员培训，保证认定工作人员的业务素质，提高工作效率和质量。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接收并审核学院认定中心上报的拓展学分创新学分认定申请，进行校级最终认定。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（三）学院认定中心职责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向学校认定中心负责并及时汇报学生拓展学分创新学分认定工作开展情况。</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制定学院自己的实施办法和工作细则等规范性文件。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制定学院学年学生拓展学分创新学分项目指南，并及时上报学校认定中心进行审查、整合。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配合学校做好学生拓展学分创新学分实施的宣传工作，深入班级和同学介绍学生拓展学分创新学分的效力及重要性。</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接收并审核拓展学分创新学分认定申请，进行院级认定。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接受学院师生的监督，及时处理师生对认定工作的意见和建议。</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四、学生拓展学分创新学分认定时间</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学生拓展学分创新学分的认定每学年进行一次，时间统一规定为每学年开学初第一周至第四周。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学校认定中心对学院学生拓展学分创新学分认定工作每学年进行一次抽查，及时发现和解决遇到的问题。</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毕业班学生最后一个学年的认定工作，由学院认定中心集中在毕业前一个月内完成。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学校认定中心在毕业生离校前一个月内集中进行一次校级认定。</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五、学生拓展学分创新学分认定工作流程及要点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 xml:space="preserve">1. </w:t>
      </w:r>
      <w:r>
        <w:rPr>
          <w:rFonts w:hint="default" w:ascii="汉仪书宋二简" w:hAnsi="汉仪书宋二简" w:eastAsia="汉仪书宋二简" w:cs="汉仪书宋二简"/>
          <w:color w:val="000000"/>
          <w:kern w:val="2"/>
          <w:sz w:val="21"/>
          <w:szCs w:val="21"/>
          <w:lang w:val="en-US" w:eastAsia="zh-CN" w:bidi="ar"/>
        </w:rPr>
        <w:t>每学年开学初第一周学生本人根据自己上一学年在创新实践方面的经历和表现，按照统一要求填写拓展学分创新学分认定申请，报学院认定中心进行审核、汇总、备案数据，并决定是否批准申请认定的内容。学院批准同意的拓展学分创新学分认定项目报教务处审核批准后，按前述</w:t>
      </w:r>
      <w:r>
        <w:rPr>
          <w:rFonts w:hint="default" w:ascii="Times New Roman" w:hAnsi="Times New Roman" w:eastAsia="汉仪书宋二简" w:cs="Times New Roman"/>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拓展学分创新学分的转换</w:t>
      </w:r>
      <w:r>
        <w:rPr>
          <w:rFonts w:hint="default" w:ascii="Times New Roman" w:hAnsi="Times New Roman" w:eastAsia="汉仪书宋二简" w:cs="Times New Roman"/>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 xml:space="preserve">的有关规定认定拓展学分创新学分、进行学分互换。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填写《江苏理工学院拓展学分创新学分认定申请表》时必须使用规范性语言（包括参与时间、参与事项、所获奖项），一般认定项目的文字表述参考格式为：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月参与</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举办的</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活动并获</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奖；</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月荣获</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级</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奖</w:t>
      </w:r>
      <w:r>
        <w:rPr>
          <w:rFonts w:hint="default" w:ascii="Times New Roman" w:hAnsi="Times New Roman" w:eastAsia="汉仪书宋二简" w:cs="Times New Roman"/>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市级、省级、国家级</w:t>
      </w:r>
      <w:r>
        <w:rPr>
          <w:rFonts w:hint="default" w:ascii="Times New Roman" w:hAnsi="Times New Roman" w:eastAsia="汉仪书宋二简" w:cs="Times New Roman"/>
          <w:color w:val="000000"/>
          <w:kern w:val="2"/>
          <w:sz w:val="21"/>
          <w:szCs w:val="21"/>
          <w:lang w:val="en-US" w:eastAsia="zh-CN" w:bidi="ar"/>
        </w:rPr>
        <w:t>)</w:t>
      </w:r>
      <w:r>
        <w:rPr>
          <w:rFonts w:hint="default" w:ascii="汉仪书宋二简" w:hAnsi="汉仪书宋二简" w:eastAsia="汉仪书宋二简" w:cs="汉仪书宋二简"/>
          <w:color w:val="000000"/>
          <w:kern w:val="2"/>
          <w:sz w:val="21"/>
          <w:szCs w:val="21"/>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月通过</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考试或获得</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证书；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月参与</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培训并顺利结业或获得证书；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xx</w:t>
      </w:r>
      <w:r>
        <w:rPr>
          <w:rFonts w:hint="default" w:ascii="汉仪书宋二简" w:hAnsi="汉仪书宋二简" w:eastAsia="汉仪书宋二简" w:cs="汉仪书宋二简"/>
          <w:color w:val="000000"/>
          <w:kern w:val="2"/>
          <w:sz w:val="21"/>
          <w:szCs w:val="21"/>
          <w:lang w:val="en-US" w:eastAsia="zh-CN" w:bidi="ar"/>
        </w:rPr>
        <w:t>月在《</w:t>
      </w: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》期刊发表《</w:t>
      </w:r>
      <w:r>
        <w:rPr>
          <w:rFonts w:hint="default" w:ascii="Times New Roman" w:hAnsi="Times New Roman" w:eastAsia="汉仪书宋二简" w:cs="Times New Roman"/>
          <w:color w:val="000000"/>
          <w:kern w:val="2"/>
          <w:sz w:val="21"/>
          <w:szCs w:val="21"/>
          <w:lang w:val="en-US" w:eastAsia="zh-CN" w:bidi="ar"/>
        </w:rPr>
        <w:t>xxxx</w:t>
      </w:r>
      <w:r>
        <w:rPr>
          <w:rFonts w:hint="default" w:ascii="汉仪书宋二简" w:hAnsi="汉仪书宋二简" w:eastAsia="汉仪书宋二简" w:cs="汉仪书宋二简"/>
          <w:color w:val="000000"/>
          <w:kern w:val="2"/>
          <w:sz w:val="21"/>
          <w:szCs w:val="21"/>
          <w:lang w:val="en-US" w:eastAsia="zh-CN" w:bidi="ar"/>
        </w:rPr>
        <w:t>》论文（第一作者）。</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未列入附件</w:t>
      </w: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但有必要认定的内容或在认定过程中出现争议时，由学校认定中心向学校教学工作委员会提出，由学校教学工作委员会裁决。</w:t>
      </w:r>
    </w:p>
    <w:p>
      <w:pPr>
        <w:pStyle w:val="3"/>
        <w:widowControl/>
        <w:rPr>
          <w:rFonts w:hint="default" w:ascii="Times New Roman" w:hAnsi="Times New Roman" w:eastAsia="黑体" w:cs="Times New Roman"/>
          <w:color w:val="000000"/>
          <w:kern w:val="2"/>
          <w:sz w:val="24"/>
          <w:szCs w:val="24"/>
        </w:rPr>
      </w:pPr>
      <w:r>
        <w:rPr>
          <w:rFonts w:hint="eastAsia" w:ascii="黑体" w:hAnsi="宋体" w:eastAsia="黑体" w:cs="黑体"/>
          <w:color w:val="000000"/>
          <w:kern w:val="2"/>
          <w:sz w:val="24"/>
          <w:szCs w:val="24"/>
        </w:rPr>
        <w:t>六、附则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本办法自公布之日起实施，由教务处负责解释。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Times New Roman"/>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附件：</w:t>
      </w: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学生拓展学分评定表</w:t>
      </w:r>
    </w:p>
    <w:p>
      <w:pPr>
        <w:keepNext w:val="0"/>
        <w:keepLines w:val="0"/>
        <w:widowControl w:val="0"/>
        <w:suppressLineNumbers w:val="0"/>
        <w:spacing w:before="0" w:beforeAutospacing="0" w:after="0" w:afterAutospacing="0" w:line="320" w:lineRule="exact"/>
        <w:ind w:left="840" w:right="0" w:firstLine="238"/>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学生创新学分评定表</w:t>
      </w:r>
    </w:p>
    <w:p>
      <w:pPr>
        <w:keepNext w:val="0"/>
        <w:keepLines w:val="0"/>
        <w:widowControl w:val="0"/>
        <w:suppressLineNumbers w:val="0"/>
        <w:snapToGrid w:val="0"/>
        <w:spacing w:before="0" w:beforeAutospacing="0" w:after="0" w:afterAutospacing="0" w:line="320" w:lineRule="exact"/>
        <w:ind w:left="0" w:right="0" w:firstLine="3093" w:firstLineChars="1473"/>
        <w:jc w:val="both"/>
        <w:rPr>
          <w:rFonts w:hint="default" w:ascii="Times New Roman" w:hAnsi="Times New Roman" w:eastAsia="汉仪书宋二简" w:cs="Times New Roman"/>
          <w:color w:val="000000"/>
          <w:kern w:val="2"/>
          <w:sz w:val="21"/>
          <w:szCs w:val="21"/>
        </w:rPr>
      </w:pPr>
      <w:r>
        <w:rPr>
          <w:rFonts w:hint="default" w:ascii="Times New Roman" w:hAnsi="Times New Roman" w:eastAsia="汉仪书宋二简"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20" w:lineRule="exact"/>
        <w:ind w:left="0" w:right="0"/>
        <w:jc w:val="right"/>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附件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211" w:firstLineChars="100"/>
        <w:jc w:val="center"/>
        <w:rPr>
          <w:rFonts w:hint="default" w:ascii="汉仪书宋二简" w:hAnsi="宋体" w:eastAsia="汉仪书宋二简" w:cs="宋体"/>
          <w:b/>
          <w:color w:val="000000"/>
          <w:kern w:val="2"/>
          <w:sz w:val="21"/>
          <w:szCs w:val="21"/>
        </w:rPr>
      </w:pPr>
      <w:r>
        <w:rPr>
          <w:rFonts w:hint="default" w:ascii="汉仪书宋二简" w:hAnsi="宋体" w:eastAsia="汉仪书宋二简" w:cs="宋体"/>
          <w:b/>
          <w:color w:val="000000"/>
          <w:kern w:val="2"/>
          <w:sz w:val="21"/>
          <w:szCs w:val="21"/>
          <w:lang w:val="en-US" w:eastAsia="zh-CN" w:bidi="ar"/>
        </w:rPr>
        <w:t>1.学生拓展学分评定表</w:t>
      </w:r>
    </w:p>
    <w:tbl>
      <w:tblPr>
        <w:tblStyle w:val="5"/>
        <w:tblW w:w="6010" w:type="dxa"/>
        <w:jc w:val="center"/>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
      <w:tblGrid>
        <w:gridCol w:w="1475"/>
        <w:gridCol w:w="992"/>
        <w:gridCol w:w="149"/>
        <w:gridCol w:w="2261"/>
        <w:gridCol w:w="567"/>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480" w:hRule="atLeast"/>
          <w:jc w:val="center"/>
        </w:trPr>
        <w:tc>
          <w:tcPr>
            <w:tcW w:w="1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拓展课程模块</w:t>
            </w: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项  目</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学分</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58" w:hRule="atLeast"/>
          <w:jc w:val="center"/>
        </w:trPr>
        <w:tc>
          <w:tcPr>
            <w:tcW w:w="1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教育教学模块</w:t>
            </w: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非师范生获得教师资格证</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66" w:hRule="atLeast"/>
          <w:jc w:val="center"/>
        </w:trPr>
        <w:tc>
          <w:tcPr>
            <w:tcW w:w="147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技术技能模块</w:t>
            </w:r>
          </w:p>
        </w:tc>
        <w:tc>
          <w:tcPr>
            <w:tcW w:w="992"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职业资格</w:t>
            </w:r>
          </w:p>
        </w:tc>
        <w:tc>
          <w:tcPr>
            <w:tcW w:w="24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专业相关高级工</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46"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9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4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专业相关技师</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182"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行业资格</w:t>
            </w:r>
          </w:p>
        </w:tc>
        <w:tc>
          <w:tcPr>
            <w:tcW w:w="24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注册会计师</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6</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194" w:hRule="atLeast"/>
          <w:jc w:val="center"/>
        </w:trPr>
        <w:tc>
          <w:tcPr>
            <w:tcW w:w="147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学科发展模块</w:t>
            </w: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考取研究生</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6</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218"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非英语专业大学英语六级</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170"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英语专业八级</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58"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雅思6.0</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58"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托福80分</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46" w:hRule="atLeast"/>
          <w:jc w:val="center"/>
        </w:trPr>
        <w:tc>
          <w:tcPr>
            <w:tcW w:w="1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辅修专业模块</w:t>
            </w:r>
          </w:p>
        </w:tc>
        <w:tc>
          <w:tcPr>
            <w:tcW w:w="34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获得辅修专业证书（二学历）</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242" w:hRule="atLeast"/>
          <w:jc w:val="center"/>
        </w:trPr>
        <w:tc>
          <w:tcPr>
            <w:tcW w:w="147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文体竞赛</w:t>
            </w:r>
          </w:p>
        </w:tc>
        <w:tc>
          <w:tcPr>
            <w:tcW w:w="1141" w:type="dxa"/>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国际比赛</w:t>
            </w: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冠军（一等奖）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6</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5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亚军（二等奖）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5</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302"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第三名（三等奖）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5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第四名—第六名</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3</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9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全国比赛</w:t>
            </w: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冠军（一等奖）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5</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42"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亚军（二等奖）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70"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第三名（三等奖）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3</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3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第四名—第六名</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3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省级比赛</w:t>
            </w: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227" w:rightChars="-108"/>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冠军（一等奖）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4</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82"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亚军（二等奖）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3</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25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第三名（三等奖）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57" w:type="dxa"/>
            <w:bottom w:w="0" w:type="dxa"/>
            <w:right w:w="57" w:type="dxa"/>
          </w:tblCellMar>
        </w:tblPrEx>
        <w:trPr>
          <w:trHeight w:val="242"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第四名—第六名</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194"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市级比赛</w:t>
            </w: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冠军（一等奖）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36" w:hRule="atLeast"/>
          <w:jc w:val="center"/>
        </w:trPr>
        <w:tc>
          <w:tcPr>
            <w:tcW w:w="147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1"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亚军（二等奖）</w:t>
            </w:r>
          </w:p>
        </w:tc>
        <w:tc>
          <w:tcPr>
            <w:tcW w:w="5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2</w:t>
            </w:r>
          </w:p>
        </w:tc>
        <w:tc>
          <w:tcPr>
            <w:tcW w:w="56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汉仪书宋二简" w:hAnsi="宋体" w:eastAsia="汉仪书宋二简" w:cs="宋体"/>
                <w:color w:val="000000"/>
                <w:kern w:val="2"/>
                <w:sz w:val="21"/>
                <w:szCs w:val="21"/>
                <w:bdr w:val="none" w:color="auto" w:sz="0" w:space="0"/>
              </w:rPr>
            </w:pPr>
            <w:r>
              <w:rPr>
                <w:rFonts w:hint="default" w:ascii="汉仪书宋二简" w:hAnsi="宋体" w:eastAsia="汉仪书宋二简" w:cs="宋体"/>
                <w:color w:val="000000"/>
                <w:kern w:val="2"/>
                <w:sz w:val="21"/>
                <w:szCs w:val="21"/>
                <w:bdr w:val="none" w:color="auto" w:sz="0" w:space="0"/>
                <w:lang w:val="en-US" w:eastAsia="zh-CN" w:bidi="ar"/>
              </w:rPr>
              <w:t>75</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2.学生创新学分评定表</w:t>
      </w:r>
    </w:p>
    <w:tbl>
      <w:tblPr>
        <w:tblStyle w:val="5"/>
        <w:tblW w:w="61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2"/>
        <w:gridCol w:w="1819"/>
        <w:gridCol w:w="1749"/>
        <w:gridCol w:w="744"/>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82" w:hRule="atLeast"/>
          <w:jc w:val="center"/>
        </w:trPr>
        <w:tc>
          <w:tcPr>
            <w:tcW w:w="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项目</w:t>
            </w:r>
          </w:p>
        </w:tc>
        <w:tc>
          <w:tcPr>
            <w:tcW w:w="356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内容及标准</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学分</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78" w:hRule="atLeast"/>
          <w:jc w:val="center"/>
        </w:trPr>
        <w:tc>
          <w:tcPr>
            <w:tcW w:w="81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学科与科技竞赛</w:t>
            </w:r>
          </w:p>
        </w:tc>
        <w:tc>
          <w:tcPr>
            <w:tcW w:w="181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大学生“</w:t>
            </w:r>
            <w:r>
              <w:rPr>
                <w:rFonts w:hint="default" w:ascii="汉仪书宋二简" w:hAnsi="汉仪书宋二简" w:eastAsia="汉仪书宋二简" w:cs="汉仪书宋二简"/>
                <w:color w:val="000000"/>
                <w:kern w:val="2"/>
                <w:sz w:val="21"/>
                <w:szCs w:val="21"/>
                <w:bdr w:val="none" w:color="auto" w:sz="0" w:space="0"/>
                <w:lang w:val="en-US" w:eastAsia="zh-CN" w:bidi="ar"/>
              </w:rPr>
              <w:t>挑战杯</w:t>
            </w:r>
            <w:r>
              <w:rPr>
                <w:rFonts w:hint="default" w:ascii="Times New Roman" w:hAnsi="Times New Roman" w:eastAsia="汉仪书宋二简" w:cs="Times New Roman"/>
                <w:color w:val="000000"/>
                <w:kern w:val="2"/>
                <w:sz w:val="21"/>
                <w:szCs w:val="21"/>
                <w:bdr w:val="none" w:color="auto" w:sz="0" w:space="0"/>
                <w:lang w:val="en-US" w:eastAsia="zh-CN" w:bidi="ar"/>
              </w:rPr>
              <w:t>”</w:t>
            </w:r>
            <w:r>
              <w:rPr>
                <w:rFonts w:hint="default" w:ascii="汉仪书宋二简" w:hAnsi="汉仪书宋二简" w:eastAsia="汉仪书宋二简" w:cs="汉仪书宋二简"/>
                <w:color w:val="000000"/>
                <w:kern w:val="2"/>
                <w:sz w:val="21"/>
                <w:szCs w:val="21"/>
                <w:bdr w:val="none" w:color="auto" w:sz="0" w:space="0"/>
                <w:lang w:val="en-US" w:eastAsia="zh-CN" w:bidi="ar"/>
              </w:rPr>
              <w:t>、全国大学生电子设计大赛、全国大学生数学建模等教育部高等教育司举办的各类大赛</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国家级一等奖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6</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72"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国家级二等奖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5</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30"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国家级三等奖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4</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22"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国家级入围奖、鼓励奖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42"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省部级一等奖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5</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18"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省部级二等奖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4</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71"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省部级三等奖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41"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市厅级一等奖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63"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全国大学生英语竞赛</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特等奖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4</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139"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一等奖</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60" w:hRule="atLeast"/>
          <w:jc w:val="center"/>
        </w:trPr>
        <w:tc>
          <w:tcPr>
            <w:tcW w:w="8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科研成果和科研活动</w:t>
            </w: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主持并完成大学生</w:t>
            </w:r>
          </w:p>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科技创新项目</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省部级及以上（第一人）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优秀：85</w:t>
            </w:r>
          </w:p>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合格：75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128" w:hRule="atLeast"/>
          <w:jc w:val="center"/>
        </w:trPr>
        <w:tc>
          <w:tcPr>
            <w:tcW w:w="81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发表论文及作品</w:t>
            </w: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被SCI/EI</w:t>
            </w:r>
            <w:r>
              <w:rPr>
                <w:rFonts w:hint="default" w:ascii="汉仪书宋二简" w:hAnsi="汉仪书宋二简" w:eastAsia="汉仪书宋二简" w:cs="汉仪书宋二简"/>
                <w:color w:val="000000"/>
                <w:kern w:val="2"/>
                <w:sz w:val="21"/>
                <w:szCs w:val="21"/>
                <w:bdr w:val="none" w:color="auto" w:sz="0" w:space="0"/>
                <w:lang w:val="en-US" w:eastAsia="zh-CN" w:bidi="ar"/>
              </w:rPr>
              <w:t>收录（源刊）</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44"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核心期刊</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155" w:hRule="atLeast"/>
          <w:jc w:val="center"/>
        </w:trPr>
        <w:tc>
          <w:tcPr>
            <w:tcW w:w="81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发明创造</w:t>
            </w: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国家发明专利</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20"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实用新型专利</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1</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306" w:hRule="atLeast"/>
          <w:jc w:val="center"/>
        </w:trPr>
        <w:tc>
          <w:tcPr>
            <w:tcW w:w="81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外观设计专利</w:t>
            </w:r>
          </w:p>
        </w:tc>
        <w:tc>
          <w:tcPr>
            <w:tcW w:w="17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第一人</w:t>
            </w:r>
          </w:p>
        </w:tc>
        <w:tc>
          <w:tcPr>
            <w:tcW w:w="7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1</w:t>
            </w:r>
          </w:p>
        </w:tc>
        <w:tc>
          <w:tcPr>
            <w:tcW w:w="98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85</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sz w:val="21"/>
          <w:szCs w:val="21"/>
        </w:rPr>
      </w:pPr>
      <w:r>
        <w:rPr>
          <w:rFonts w:hint="default" w:ascii="Times New Roman" w:hAnsi="Times New Roman" w:cs="Times New Roman" w:eastAsiaTheme="minorEastAsia"/>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kern w:val="2"/>
          <w:sz w:val="21"/>
          <w:szCs w:val="21"/>
        </w:rPr>
      </w:pPr>
      <w:bookmarkStart w:id="0" w:name="_GoBack"/>
      <w:r>
        <w:rPr>
          <w:rFonts w:hint="default" w:ascii="汉仪书宋二简" w:hAnsi="汉仪书宋二简" w:eastAsia="汉仪书宋二简" w:cs="汉仪书宋二简"/>
          <w:color w:val="000000"/>
          <w:kern w:val="2"/>
          <w:sz w:val="21"/>
          <w:szCs w:val="21"/>
          <w:lang w:val="en-US" w:eastAsia="zh-CN" w:bidi="ar"/>
        </w:rPr>
        <w:t>教〔2014〕5号</w:t>
      </w:r>
      <w:bookmarkEnd w:id="0"/>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73953"/>
    <w:rsid w:val="58E73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5"/>
    <w:basedOn w:val="1"/>
    <w:next w:val="1"/>
    <w:unhideWhenUsed/>
    <w:qFormat/>
    <w:uiPriority w:val="0"/>
    <w:pPr>
      <w:keepNext/>
      <w:keepLines/>
      <w:widowControl w:val="0"/>
      <w:suppressLineNumbers w:val="0"/>
      <w:spacing w:before="120" w:beforeLines="50" w:beforeAutospacing="0" w:after="0" w:afterAutospacing="1" w:line="320" w:lineRule="exact"/>
      <w:ind w:firstLine="480" w:firstLineChars="200"/>
      <w:jc w:val="left"/>
      <w:outlineLvl w:val="4"/>
    </w:pPr>
    <w:rPr>
      <w:rFonts w:hint="default" w:ascii="Times New Roman" w:hAnsi="Times New Roman" w:eastAsia="黑体" w:cs="Times New Roman"/>
      <w:b/>
      <w:color w:val="000000"/>
      <w:kern w:val="2"/>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2017-11-02T01:12:00Z</dcterms:created>
  <dc:creator>Administrator</dc:creator>
  <cp:lastModifiedBy>Administrator</cp:lastModifiedBy>
  <dcterms:modified xsi:type="dcterms:W3CDTF">2017-11-02T01:14:49Z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